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0286" w14:textId="5972FD32" w:rsidR="004B6F34" w:rsidRPr="008D3EAD" w:rsidRDefault="00B21CB6">
      <w:pPr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>AQA</w:t>
      </w:r>
      <w:r w:rsidR="00B41D26" w:rsidRPr="008D3EA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Level 3 Core </w:t>
      </w:r>
      <w:r w:rsidR="00B41D26" w:rsidRPr="008D3EAD">
        <w:rPr>
          <w:rFonts w:cstheme="minorHAnsi"/>
          <w:b/>
          <w:bCs/>
          <w:color w:val="000000" w:themeColor="text1"/>
          <w:sz w:val="20"/>
          <w:szCs w:val="20"/>
        </w:rPr>
        <w:t>Maths</w:t>
      </w:r>
      <w:r w:rsidR="004B6F34" w:rsidRPr="008D3EAD">
        <w:rPr>
          <w:rFonts w:cstheme="minorHAnsi"/>
          <w:b/>
          <w:bCs/>
          <w:color w:val="000000" w:themeColor="text1"/>
          <w:sz w:val="20"/>
          <w:szCs w:val="20"/>
        </w:rPr>
        <w:t xml:space="preserve"> </w:t>
      </w:r>
      <w:r w:rsidR="00307F28" w:rsidRPr="008D3EAD">
        <w:rPr>
          <w:rFonts w:cstheme="minorHAnsi"/>
          <w:b/>
          <w:bCs/>
          <w:color w:val="000000" w:themeColor="text1"/>
          <w:sz w:val="20"/>
          <w:szCs w:val="20"/>
        </w:rPr>
        <w:t>- Overview 2022-23</w:t>
      </w:r>
    </w:p>
    <w:tbl>
      <w:tblPr>
        <w:tblStyle w:val="TableGrid"/>
        <w:tblW w:w="15137" w:type="dxa"/>
        <w:tblLook w:val="04A0" w:firstRow="1" w:lastRow="0" w:firstColumn="1" w:lastColumn="0" w:noHBand="0" w:noVBand="1"/>
      </w:tblPr>
      <w:tblGrid>
        <w:gridCol w:w="1646"/>
        <w:gridCol w:w="2664"/>
        <w:gridCol w:w="2127"/>
        <w:gridCol w:w="1968"/>
        <w:gridCol w:w="2107"/>
        <w:gridCol w:w="2684"/>
        <w:gridCol w:w="1941"/>
      </w:tblGrid>
      <w:tr w:rsidR="00FD25A7" w:rsidRPr="008D3EAD" w14:paraId="52DF3597" w14:textId="77777777" w:rsidTr="00587D65">
        <w:tc>
          <w:tcPr>
            <w:tcW w:w="1646" w:type="dxa"/>
            <w:shd w:val="clear" w:color="auto" w:fill="D5DCE4" w:themeFill="text2" w:themeFillTint="33"/>
          </w:tcPr>
          <w:p w14:paraId="15CB445F" w14:textId="234BF6DB" w:rsidR="002748D9" w:rsidRPr="008D3EAD" w:rsidRDefault="00587D65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Overview</w:t>
            </w:r>
          </w:p>
        </w:tc>
        <w:tc>
          <w:tcPr>
            <w:tcW w:w="4791" w:type="dxa"/>
            <w:gridSpan w:val="2"/>
            <w:shd w:val="clear" w:color="auto" w:fill="D5DCE4" w:themeFill="text2" w:themeFillTint="33"/>
          </w:tcPr>
          <w:p w14:paraId="61750236" w14:textId="76CA94E4" w:rsidR="002748D9" w:rsidRPr="008D3EAD" w:rsidRDefault="002748D9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Autumn Term</w:t>
            </w:r>
          </w:p>
        </w:tc>
        <w:tc>
          <w:tcPr>
            <w:tcW w:w="4075" w:type="dxa"/>
            <w:gridSpan w:val="2"/>
            <w:shd w:val="clear" w:color="auto" w:fill="D5DCE4" w:themeFill="text2" w:themeFillTint="33"/>
          </w:tcPr>
          <w:p w14:paraId="77844360" w14:textId="76A87E7F" w:rsidR="002748D9" w:rsidRPr="008D3EAD" w:rsidRDefault="002748D9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Spring Term</w:t>
            </w:r>
          </w:p>
        </w:tc>
        <w:tc>
          <w:tcPr>
            <w:tcW w:w="4625" w:type="dxa"/>
            <w:gridSpan w:val="2"/>
            <w:shd w:val="clear" w:color="auto" w:fill="D5DCE4" w:themeFill="text2" w:themeFillTint="33"/>
          </w:tcPr>
          <w:p w14:paraId="79FF514F" w14:textId="0F40594E" w:rsidR="002748D9" w:rsidRPr="008D3EAD" w:rsidRDefault="002748D9" w:rsidP="00307F28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Summer Term</w:t>
            </w:r>
          </w:p>
        </w:tc>
      </w:tr>
      <w:tr w:rsidR="00587D65" w:rsidRPr="008D3EAD" w14:paraId="35038366" w14:textId="77777777" w:rsidTr="00ED5049">
        <w:tc>
          <w:tcPr>
            <w:tcW w:w="1646" w:type="dxa"/>
            <w:vMerge w:val="restart"/>
            <w:shd w:val="clear" w:color="auto" w:fill="D5DCE4" w:themeFill="text2" w:themeFillTint="33"/>
            <w:vAlign w:val="center"/>
          </w:tcPr>
          <w:p w14:paraId="5F2A1A55" w14:textId="1BA82E29" w:rsidR="00587D65" w:rsidRPr="00587D65" w:rsidRDefault="00587D65" w:rsidP="00ED5049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The Core Maths course contains a heavy focus on data analysis and statistical techniques. Students will expect to become familiar with critical</w:t>
            </w:r>
            <w:r w:rsidR="00ED5049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analysis of</w:t>
            </w:r>
            <w:r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 xml:space="preserve"> articles, data and </w:t>
            </w:r>
            <w:r w:rsidR="000F3738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apply the techniques learnt throughout the course to various unseen contexts.</w:t>
            </w:r>
          </w:p>
        </w:tc>
        <w:tc>
          <w:tcPr>
            <w:tcW w:w="2664" w:type="dxa"/>
            <w:shd w:val="clear" w:color="auto" w:fill="D5DCE4" w:themeFill="text2" w:themeFillTint="33"/>
          </w:tcPr>
          <w:p w14:paraId="6D4124AA" w14:textId="548CF32A" w:rsidR="00587D65" w:rsidRPr="008D3EAD" w:rsidRDefault="00587D65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1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14:paraId="77287C46" w14:textId="3E59649B" w:rsidR="00587D65" w:rsidRPr="008D3EAD" w:rsidRDefault="00587D65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2</w:t>
            </w:r>
          </w:p>
        </w:tc>
        <w:tc>
          <w:tcPr>
            <w:tcW w:w="1968" w:type="dxa"/>
            <w:shd w:val="clear" w:color="auto" w:fill="D5DCE4" w:themeFill="text2" w:themeFillTint="33"/>
          </w:tcPr>
          <w:p w14:paraId="673486A2" w14:textId="067559B1" w:rsidR="00587D65" w:rsidRPr="008D3EAD" w:rsidRDefault="00587D65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3</w:t>
            </w:r>
          </w:p>
        </w:tc>
        <w:tc>
          <w:tcPr>
            <w:tcW w:w="2107" w:type="dxa"/>
            <w:shd w:val="clear" w:color="auto" w:fill="D5DCE4" w:themeFill="text2" w:themeFillTint="33"/>
          </w:tcPr>
          <w:p w14:paraId="651DE2C5" w14:textId="5EFE846F" w:rsidR="00587D65" w:rsidRPr="008D3EAD" w:rsidRDefault="00587D65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4</w:t>
            </w:r>
          </w:p>
        </w:tc>
        <w:tc>
          <w:tcPr>
            <w:tcW w:w="2684" w:type="dxa"/>
            <w:shd w:val="clear" w:color="auto" w:fill="D5DCE4" w:themeFill="text2" w:themeFillTint="33"/>
          </w:tcPr>
          <w:p w14:paraId="46918B50" w14:textId="652B8BCF" w:rsidR="00587D65" w:rsidRPr="008D3EAD" w:rsidRDefault="00587D65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5</w:t>
            </w:r>
          </w:p>
        </w:tc>
        <w:tc>
          <w:tcPr>
            <w:tcW w:w="1941" w:type="dxa"/>
            <w:shd w:val="clear" w:color="auto" w:fill="D5DCE4" w:themeFill="text2" w:themeFillTint="33"/>
          </w:tcPr>
          <w:p w14:paraId="589A5D8B" w14:textId="529F7D35" w:rsidR="00587D65" w:rsidRPr="008D3EAD" w:rsidRDefault="00587D65" w:rsidP="002748D9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D3EAD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Term 6</w:t>
            </w:r>
          </w:p>
        </w:tc>
      </w:tr>
      <w:tr w:rsidR="00587D65" w:rsidRPr="0091145E" w14:paraId="54BEED51" w14:textId="77777777" w:rsidTr="00587D65">
        <w:tc>
          <w:tcPr>
            <w:tcW w:w="1646" w:type="dxa"/>
            <w:vMerge/>
            <w:shd w:val="clear" w:color="auto" w:fill="D5DCE4" w:themeFill="text2" w:themeFillTint="33"/>
          </w:tcPr>
          <w:p w14:paraId="5817BF4A" w14:textId="560198CD" w:rsidR="00587D65" w:rsidRPr="00587D65" w:rsidRDefault="00587D65" w:rsidP="00587D6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64" w:type="dxa"/>
          </w:tcPr>
          <w:p w14:paraId="572F5740" w14:textId="516B323E" w:rsidR="00587D65" w:rsidRPr="008D3EAD" w:rsidRDefault="00587D65" w:rsidP="00C10E84">
            <w:pPr>
              <w:ind w:left="288" w:hanging="288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14:paraId="110030DB" w14:textId="67FA2F69" w:rsidR="00587D65" w:rsidRDefault="00587D65" w:rsidP="004F1A94">
            <w:pPr>
              <w:pStyle w:val="ListParagraph"/>
              <w:numPr>
                <w:ilvl w:val="0"/>
                <w:numId w:val="23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1969">
              <w:rPr>
                <w:rFonts w:cstheme="minorHAnsi"/>
                <w:color w:val="000000" w:themeColor="text1"/>
                <w:sz w:val="20"/>
                <w:szCs w:val="20"/>
              </w:rPr>
              <w:t>Types of data</w:t>
            </w:r>
          </w:p>
          <w:p w14:paraId="11F34068" w14:textId="1D92292D" w:rsidR="00587D65" w:rsidRDefault="00587D65" w:rsidP="004F1A94">
            <w:pPr>
              <w:pStyle w:val="ListParagraph"/>
              <w:numPr>
                <w:ilvl w:val="0"/>
                <w:numId w:val="23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41969">
              <w:rPr>
                <w:rFonts w:cstheme="minorHAnsi"/>
                <w:color w:val="000000" w:themeColor="text1"/>
                <w:sz w:val="20"/>
                <w:szCs w:val="20"/>
              </w:rPr>
              <w:t>Sampling methods and advantages/disadvantages</w:t>
            </w:r>
          </w:p>
          <w:p w14:paraId="418DF08F" w14:textId="10C8F8CE" w:rsidR="00587D65" w:rsidRDefault="00587D65" w:rsidP="004F1A94">
            <w:pPr>
              <w:pStyle w:val="ListParagraph"/>
              <w:numPr>
                <w:ilvl w:val="0"/>
                <w:numId w:val="23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7772C">
              <w:rPr>
                <w:rFonts w:cstheme="minorHAnsi"/>
                <w:color w:val="000000" w:themeColor="text1"/>
                <w:sz w:val="20"/>
                <w:szCs w:val="20"/>
              </w:rPr>
              <w:t>Representing data</w:t>
            </w:r>
          </w:p>
          <w:p w14:paraId="22126721" w14:textId="12C5B58F" w:rsidR="00587D65" w:rsidRPr="004F1A94" w:rsidRDefault="00587D65" w:rsidP="004F1A94">
            <w:pPr>
              <w:pStyle w:val="ListParagraph"/>
              <w:numPr>
                <w:ilvl w:val="0"/>
                <w:numId w:val="23"/>
              </w:numPr>
              <w:ind w:left="288" w:hanging="288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Averages, spread and percentiles</w:t>
            </w:r>
          </w:p>
        </w:tc>
        <w:tc>
          <w:tcPr>
            <w:tcW w:w="2127" w:type="dxa"/>
          </w:tcPr>
          <w:p w14:paraId="77515FFD" w14:textId="3DB2FEF1" w:rsidR="00587D65" w:rsidRPr="008D3EAD" w:rsidRDefault="00587D65" w:rsidP="00B255F9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Financial maths</w:t>
            </w:r>
          </w:p>
          <w:p w14:paraId="6C87635B" w14:textId="4D9088D4" w:rsidR="00587D65" w:rsidRPr="00010B73" w:rsidRDefault="00587D65" w:rsidP="00B22DDE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Spreadsheets</w:t>
            </w:r>
          </w:p>
          <w:p w14:paraId="23CDAC46" w14:textId="474D2D75" w:rsidR="00587D65" w:rsidRPr="00010B73" w:rsidRDefault="00587D65" w:rsidP="00B22DDE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</w:t>
            </w:r>
            <w:r w:rsidRPr="00010B73">
              <w:rPr>
                <w:rFonts w:ascii="Calibri" w:hAnsi="Calibri" w:cs="Calibri"/>
                <w:color w:val="000000"/>
                <w:sz w:val="20"/>
                <w:szCs w:val="20"/>
              </w:rPr>
              <w:t>nterest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rates</w:t>
            </w:r>
            <w:r w:rsidRPr="00010B7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Annual Equivalent Rate (AER)</w:t>
            </w:r>
          </w:p>
          <w:p w14:paraId="370B3062" w14:textId="2C5DC14F" w:rsidR="00587D65" w:rsidRPr="00010B73" w:rsidRDefault="00587D65" w:rsidP="00B22DDE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010B73">
              <w:rPr>
                <w:rFonts w:ascii="Calibri" w:hAnsi="Calibri" w:cs="Calibri"/>
                <w:color w:val="000000"/>
                <w:sz w:val="20"/>
                <w:szCs w:val="20"/>
              </w:rPr>
              <w:t>Repayments and credit (student loans/</w:t>
            </w:r>
            <w:proofErr w:type="spellStart"/>
            <w:r w:rsidRPr="00010B73">
              <w:rPr>
                <w:rFonts w:ascii="Calibri" w:hAnsi="Calibri" w:cs="Calibri"/>
                <w:color w:val="000000"/>
                <w:sz w:val="20"/>
                <w:szCs w:val="20"/>
              </w:rPr>
              <w:t>mortages</w:t>
            </w:r>
            <w:proofErr w:type="spellEnd"/>
            <w:r w:rsidRPr="00010B73">
              <w:rPr>
                <w:rFonts w:ascii="Calibri" w:hAnsi="Calibri" w:cs="Calibri"/>
                <w:color w:val="000000"/>
                <w:sz w:val="20"/>
                <w:szCs w:val="20"/>
              </w:rPr>
              <w:t>) including Annual Percentage Rate (APR)</w:t>
            </w:r>
          </w:p>
        </w:tc>
        <w:tc>
          <w:tcPr>
            <w:tcW w:w="1968" w:type="dxa"/>
          </w:tcPr>
          <w:p w14:paraId="7C91EBD5" w14:textId="77777777" w:rsidR="00587D65" w:rsidRPr="008D3EAD" w:rsidRDefault="00587D65" w:rsidP="00010B73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Financial maths</w:t>
            </w:r>
          </w:p>
          <w:p w14:paraId="3840838C" w14:textId="77777777" w:rsidR="00587D65" w:rsidRDefault="00587D65" w:rsidP="00396413">
            <w:pPr>
              <w:pStyle w:val="ListParagraph"/>
              <w:numPr>
                <w:ilvl w:val="0"/>
                <w:numId w:val="27"/>
              </w:numPr>
              <w:ind w:left="197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6413">
              <w:rPr>
                <w:rFonts w:cstheme="minorHAnsi"/>
                <w:color w:val="000000" w:themeColor="text1"/>
                <w:sz w:val="20"/>
                <w:szCs w:val="20"/>
              </w:rPr>
              <w:t>Income Tax, National Insurance, Value Added Tax (VAT)</w:t>
            </w:r>
          </w:p>
          <w:p w14:paraId="7F2BA1EF" w14:textId="77777777" w:rsidR="00587D65" w:rsidRDefault="00587D65" w:rsidP="00396413">
            <w:pPr>
              <w:pStyle w:val="ListParagraph"/>
              <w:numPr>
                <w:ilvl w:val="0"/>
                <w:numId w:val="27"/>
              </w:numPr>
              <w:ind w:left="197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96413">
              <w:rPr>
                <w:rFonts w:cstheme="minorHAnsi"/>
                <w:color w:val="000000" w:themeColor="text1"/>
                <w:sz w:val="20"/>
                <w:szCs w:val="20"/>
              </w:rPr>
              <w:t>Inflation - Retail Price Index (RPI) and Consumer Price Index (CPI)</w:t>
            </w:r>
          </w:p>
          <w:p w14:paraId="09212054" w14:textId="7D40196A" w:rsidR="00587D65" w:rsidRDefault="00587D65" w:rsidP="00AE29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F1BE535" w14:textId="77777777" w:rsidR="00587D65" w:rsidRDefault="00587D65" w:rsidP="00AE29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5C207DB" w14:textId="20363372" w:rsidR="00587D65" w:rsidRDefault="00587D65" w:rsidP="00AE29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Estimation</w:t>
            </w:r>
          </w:p>
          <w:p w14:paraId="31FEC88B" w14:textId="10605A8C" w:rsidR="00587D65" w:rsidRPr="00AE29CF" w:rsidRDefault="00587D65" w:rsidP="00AE29CF">
            <w:pPr>
              <w:pStyle w:val="ListParagraph"/>
              <w:numPr>
                <w:ilvl w:val="0"/>
                <w:numId w:val="28"/>
              </w:numPr>
              <w:ind w:left="197" w:hanging="142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E29CF">
              <w:rPr>
                <w:rFonts w:cstheme="minorHAnsi"/>
                <w:color w:val="000000" w:themeColor="text1"/>
                <w:sz w:val="20"/>
                <w:szCs w:val="20"/>
              </w:rPr>
              <w:t>Fermi Estimation problems</w:t>
            </w:r>
          </w:p>
        </w:tc>
        <w:tc>
          <w:tcPr>
            <w:tcW w:w="2107" w:type="dxa"/>
          </w:tcPr>
          <w:p w14:paraId="7CD42CE1" w14:textId="3E689801" w:rsidR="00587D65" w:rsidRPr="008D3EAD" w:rsidRDefault="00587D65" w:rsidP="008A2C3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Critical analysis</w:t>
            </w:r>
          </w:p>
          <w:p w14:paraId="393CAD74" w14:textId="77777777" w:rsidR="00587D65" w:rsidRPr="00FD25A7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316F">
              <w:rPr>
                <w:rFonts w:ascii="Calibri" w:hAnsi="Calibri" w:cs="Calibri"/>
                <w:color w:val="000000"/>
                <w:sz w:val="20"/>
                <w:szCs w:val="20"/>
              </w:rPr>
              <w:t>Presenting logical and reasoned arguments in context</w:t>
            </w:r>
          </w:p>
          <w:p w14:paraId="42D72F54" w14:textId="77777777" w:rsidR="00587D65" w:rsidRPr="00FD25A7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8316F">
              <w:rPr>
                <w:rFonts w:ascii="Calibri" w:hAnsi="Calibri" w:cs="Calibri"/>
                <w:color w:val="000000"/>
                <w:sz w:val="20"/>
                <w:szCs w:val="20"/>
              </w:rPr>
              <w:t>Communicating mathematical approaches and solutions</w:t>
            </w:r>
          </w:p>
          <w:p w14:paraId="16987A06" w14:textId="157AF0E5" w:rsidR="00587D65" w:rsidRPr="001413C1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C8316F">
              <w:rPr>
                <w:rFonts w:ascii="Calibri" w:hAnsi="Calibri" w:cs="Calibri"/>
                <w:color w:val="000000"/>
                <w:sz w:val="20"/>
                <w:szCs w:val="20"/>
              </w:rPr>
              <w:t>nalysing critically</w:t>
            </w:r>
          </w:p>
          <w:p w14:paraId="137F4790" w14:textId="77777777" w:rsidR="00587D65" w:rsidRPr="00C8316F" w:rsidRDefault="00587D65" w:rsidP="00C8316F">
            <w:pPr>
              <w:pStyle w:val="ListParagraph"/>
              <w:ind w:left="315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A92284" w14:textId="17B3CD84" w:rsidR="00587D65" w:rsidRPr="001413C1" w:rsidRDefault="00587D65" w:rsidP="00022D2A">
            <w:pPr>
              <w:ind w:left="31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1413C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Normal distribution</w:t>
            </w:r>
          </w:p>
          <w:p w14:paraId="7EEAEA67" w14:textId="77777777" w:rsidR="00587D65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DC6CBA">
              <w:rPr>
                <w:rFonts w:cstheme="minorHAnsi"/>
                <w:color w:val="000000" w:themeColor="text1"/>
                <w:sz w:val="20"/>
                <w:szCs w:val="20"/>
              </w:rPr>
              <w:t>Identify the shape</w:t>
            </w:r>
          </w:p>
          <w:p w14:paraId="1C1C22B1" w14:textId="77777777" w:rsidR="00587D65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DC6CBA">
              <w:rPr>
                <w:rFonts w:cstheme="minorHAnsi"/>
                <w:color w:val="000000" w:themeColor="text1"/>
                <w:sz w:val="20"/>
                <w:szCs w:val="20"/>
              </w:rPr>
              <w:t>otation</w:t>
            </w:r>
          </w:p>
          <w:p w14:paraId="69975D39" w14:textId="77777777" w:rsidR="00587D65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</w:t>
            </w:r>
            <w:r w:rsidRPr="00DC6CBA">
              <w:rPr>
                <w:rFonts w:cstheme="minorHAnsi"/>
                <w:color w:val="000000" w:themeColor="text1"/>
                <w:sz w:val="20"/>
                <w:szCs w:val="20"/>
              </w:rPr>
              <w:t>tandard normal distribution</w:t>
            </w:r>
          </w:p>
          <w:p w14:paraId="2A43823E" w14:textId="77777777" w:rsidR="00587D65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DC6CBA">
              <w:rPr>
                <w:rFonts w:cstheme="minorHAnsi"/>
                <w:color w:val="000000" w:themeColor="text1"/>
                <w:sz w:val="20"/>
                <w:szCs w:val="20"/>
              </w:rPr>
              <w:t>alculating probabilities</w:t>
            </w:r>
          </w:p>
          <w:p w14:paraId="241F1030" w14:textId="77777777" w:rsidR="00587D65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DC6CBA">
              <w:rPr>
                <w:rFonts w:cstheme="minorHAnsi"/>
                <w:color w:val="000000" w:themeColor="text1"/>
                <w:sz w:val="20"/>
                <w:szCs w:val="20"/>
              </w:rPr>
              <w:t>nverse normal distribution</w:t>
            </w:r>
          </w:p>
          <w:p w14:paraId="55A18ABB" w14:textId="2166BBD2" w:rsidR="00587D65" w:rsidRPr="001413C1" w:rsidRDefault="00587D65" w:rsidP="001413C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Pr="00DC6CBA">
              <w:rPr>
                <w:rFonts w:cstheme="minorHAnsi"/>
                <w:color w:val="000000" w:themeColor="text1"/>
                <w:sz w:val="20"/>
                <w:szCs w:val="20"/>
              </w:rPr>
              <w:t>nowledge of 66%-95% rule</w:t>
            </w:r>
          </w:p>
        </w:tc>
        <w:tc>
          <w:tcPr>
            <w:tcW w:w="2684" w:type="dxa"/>
          </w:tcPr>
          <w:p w14:paraId="2F9FFEFD" w14:textId="617D1847" w:rsidR="00587D65" w:rsidRPr="008D3EAD" w:rsidRDefault="00587D65" w:rsidP="008A2C38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Probabilities and estimation</w:t>
            </w:r>
          </w:p>
          <w:p w14:paraId="06733C08" w14:textId="77777777" w:rsidR="00587D65" w:rsidRDefault="00587D65" w:rsidP="00ED343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D343E">
              <w:rPr>
                <w:rFonts w:cstheme="minorHAnsi"/>
                <w:color w:val="000000" w:themeColor="text1"/>
                <w:sz w:val="20"/>
                <w:szCs w:val="20"/>
              </w:rPr>
              <w:t>Point estimates</w:t>
            </w:r>
          </w:p>
          <w:p w14:paraId="293D3166" w14:textId="0D5B6660" w:rsidR="00587D65" w:rsidRPr="00ED343E" w:rsidRDefault="00587D65" w:rsidP="00ED343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ED343E">
              <w:rPr>
                <w:rFonts w:cstheme="minorHAnsi"/>
                <w:color w:val="000000" w:themeColor="text1"/>
                <w:sz w:val="20"/>
                <w:szCs w:val="20"/>
              </w:rPr>
              <w:t>onfidence intervals (symmetrical and normally distributed)</w:t>
            </w:r>
          </w:p>
          <w:p w14:paraId="5F77C608" w14:textId="77777777" w:rsidR="00587D65" w:rsidRDefault="00587D65" w:rsidP="00022D2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8233EFC" w14:textId="77777777" w:rsidR="00587D65" w:rsidRDefault="00587D65" w:rsidP="00022D2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EBF0AC8" w14:textId="77777777" w:rsidR="00587D65" w:rsidRDefault="00587D65" w:rsidP="00022D2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62F9E5D7" w14:textId="77777777" w:rsidR="00587D65" w:rsidRDefault="00587D65" w:rsidP="00022D2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F163924" w14:textId="77777777" w:rsidR="00587D65" w:rsidRDefault="00587D65" w:rsidP="00022D2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1C307FB2" w14:textId="77777777" w:rsidR="00587D65" w:rsidRDefault="00587D65" w:rsidP="00022D2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2BE3B288" w14:textId="529AEADA" w:rsidR="00587D65" w:rsidRPr="008D3EAD" w:rsidRDefault="00587D65" w:rsidP="00022D2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Correlation and regression</w:t>
            </w:r>
          </w:p>
          <w:p w14:paraId="1DF68344" w14:textId="77777777" w:rsidR="00587D65" w:rsidRDefault="00587D65" w:rsidP="003E044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T</w:t>
            </w:r>
            <w:r w:rsidRPr="00C257F1">
              <w:rPr>
                <w:rFonts w:cstheme="minorHAnsi"/>
                <w:color w:val="000000" w:themeColor="text1"/>
                <w:sz w:val="20"/>
                <w:szCs w:val="20"/>
              </w:rPr>
              <w:t>ypes of correlation</w:t>
            </w:r>
          </w:p>
          <w:p w14:paraId="5D06A5E6" w14:textId="47FF5E68" w:rsidR="00587D65" w:rsidRPr="00FD25A7" w:rsidRDefault="00587D65" w:rsidP="00FD25A7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C</w:t>
            </w:r>
            <w:r w:rsidRPr="00C257F1">
              <w:rPr>
                <w:rFonts w:cstheme="minorHAnsi"/>
                <w:color w:val="000000" w:themeColor="text1"/>
                <w:sz w:val="20"/>
                <w:szCs w:val="20"/>
              </w:rPr>
              <w:t>orrelation does not necessarily imply causation</w:t>
            </w:r>
          </w:p>
          <w:p w14:paraId="2689FBDA" w14:textId="77777777" w:rsidR="00587D65" w:rsidRDefault="00587D65" w:rsidP="003E044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145E">
              <w:rPr>
                <w:rFonts w:cstheme="minorHAnsi"/>
                <w:color w:val="000000" w:themeColor="text1"/>
                <w:sz w:val="20"/>
                <w:szCs w:val="20"/>
              </w:rPr>
              <w:t>Product moment correlation coefficient (PMCC)</w:t>
            </w:r>
          </w:p>
          <w:p w14:paraId="3153FC4E" w14:textId="4E629D48" w:rsidR="00587D65" w:rsidRPr="008D3EAD" w:rsidRDefault="00587D65" w:rsidP="003E044E">
            <w:pPr>
              <w:pStyle w:val="ListParagraph"/>
              <w:numPr>
                <w:ilvl w:val="0"/>
                <w:numId w:val="25"/>
              </w:numPr>
              <w:ind w:left="233" w:hanging="233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91145E">
              <w:rPr>
                <w:rFonts w:cstheme="minorHAnsi"/>
                <w:color w:val="000000" w:themeColor="text1"/>
                <w:sz w:val="20"/>
                <w:szCs w:val="20"/>
              </w:rPr>
              <w:t xml:space="preserve">Regression lines -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ca</w:t>
            </w:r>
            <w:r w:rsidRPr="0091145E">
              <w:rPr>
                <w:rFonts w:cstheme="minorHAnsi"/>
                <w:color w:val="000000" w:themeColor="text1"/>
                <w:sz w:val="20"/>
                <w:szCs w:val="20"/>
              </w:rPr>
              <w:t>lculating, plotting, interpolation/extrapolation and interpretation</w:t>
            </w:r>
          </w:p>
        </w:tc>
        <w:tc>
          <w:tcPr>
            <w:tcW w:w="1941" w:type="dxa"/>
            <w:vAlign w:val="center"/>
          </w:tcPr>
          <w:p w14:paraId="7E03040A" w14:textId="4648A7CA" w:rsidR="00587D65" w:rsidRPr="0091145E" w:rsidRDefault="00587D65" w:rsidP="0091145E">
            <w:pPr>
              <w:jc w:val="center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91145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Revision programme</w:t>
            </w:r>
          </w:p>
        </w:tc>
      </w:tr>
    </w:tbl>
    <w:p w14:paraId="21FAA173" w14:textId="77777777" w:rsidR="004B6F34" w:rsidRPr="008D3EAD" w:rsidRDefault="004B6F34">
      <w:pPr>
        <w:rPr>
          <w:rFonts w:cstheme="minorHAnsi"/>
          <w:color w:val="000000" w:themeColor="text1"/>
          <w:sz w:val="20"/>
          <w:szCs w:val="20"/>
        </w:rPr>
      </w:pPr>
    </w:p>
    <w:sectPr w:rsidR="004B6F34" w:rsidRPr="008D3EAD" w:rsidSect="00ED5049">
      <w:pgSz w:w="16838" w:h="11906" w:orient="landscape"/>
      <w:pgMar w:top="22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E97"/>
    <w:multiLevelType w:val="hybridMultilevel"/>
    <w:tmpl w:val="26981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975F6"/>
    <w:multiLevelType w:val="hybridMultilevel"/>
    <w:tmpl w:val="6DFC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6F3"/>
    <w:multiLevelType w:val="hybridMultilevel"/>
    <w:tmpl w:val="25CA4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26C71"/>
    <w:multiLevelType w:val="hybridMultilevel"/>
    <w:tmpl w:val="FEB0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F3E0C"/>
    <w:multiLevelType w:val="hybridMultilevel"/>
    <w:tmpl w:val="F40C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28CF"/>
    <w:multiLevelType w:val="hybridMultilevel"/>
    <w:tmpl w:val="B060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B5EC6"/>
    <w:multiLevelType w:val="hybridMultilevel"/>
    <w:tmpl w:val="4088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3B37"/>
    <w:multiLevelType w:val="hybridMultilevel"/>
    <w:tmpl w:val="E2D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6734D"/>
    <w:multiLevelType w:val="hybridMultilevel"/>
    <w:tmpl w:val="5A1EB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F0711"/>
    <w:multiLevelType w:val="hybridMultilevel"/>
    <w:tmpl w:val="8D5EB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AB374B"/>
    <w:multiLevelType w:val="hybridMultilevel"/>
    <w:tmpl w:val="DCF07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41F98"/>
    <w:multiLevelType w:val="hybridMultilevel"/>
    <w:tmpl w:val="772E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A13FC"/>
    <w:multiLevelType w:val="hybridMultilevel"/>
    <w:tmpl w:val="C53A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5AFB"/>
    <w:multiLevelType w:val="hybridMultilevel"/>
    <w:tmpl w:val="5664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72178"/>
    <w:multiLevelType w:val="hybridMultilevel"/>
    <w:tmpl w:val="E6D4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1701C"/>
    <w:multiLevelType w:val="hybridMultilevel"/>
    <w:tmpl w:val="662C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7"/>
  </w:num>
  <w:num w:numId="4">
    <w:abstractNumId w:val="8"/>
  </w:num>
  <w:num w:numId="5">
    <w:abstractNumId w:val="24"/>
  </w:num>
  <w:num w:numId="6">
    <w:abstractNumId w:val="14"/>
  </w:num>
  <w:num w:numId="7">
    <w:abstractNumId w:val="23"/>
  </w:num>
  <w:num w:numId="8">
    <w:abstractNumId w:val="11"/>
  </w:num>
  <w:num w:numId="9">
    <w:abstractNumId w:val="18"/>
  </w:num>
  <w:num w:numId="10">
    <w:abstractNumId w:val="2"/>
  </w:num>
  <w:num w:numId="11">
    <w:abstractNumId w:val="22"/>
  </w:num>
  <w:num w:numId="12">
    <w:abstractNumId w:val="9"/>
  </w:num>
  <w:num w:numId="13">
    <w:abstractNumId w:val="16"/>
  </w:num>
  <w:num w:numId="14">
    <w:abstractNumId w:val="15"/>
  </w:num>
  <w:num w:numId="15">
    <w:abstractNumId w:val="5"/>
  </w:num>
  <w:num w:numId="16">
    <w:abstractNumId w:val="17"/>
  </w:num>
  <w:num w:numId="17">
    <w:abstractNumId w:val="10"/>
  </w:num>
  <w:num w:numId="18">
    <w:abstractNumId w:val="4"/>
  </w:num>
  <w:num w:numId="19">
    <w:abstractNumId w:val="13"/>
  </w:num>
  <w:num w:numId="20">
    <w:abstractNumId w:val="26"/>
  </w:num>
  <w:num w:numId="21">
    <w:abstractNumId w:val="0"/>
  </w:num>
  <w:num w:numId="22">
    <w:abstractNumId w:val="7"/>
  </w:num>
  <w:num w:numId="23">
    <w:abstractNumId w:val="6"/>
  </w:num>
  <w:num w:numId="24">
    <w:abstractNumId w:val="20"/>
  </w:num>
  <w:num w:numId="25">
    <w:abstractNumId w:val="25"/>
  </w:num>
  <w:num w:numId="26">
    <w:abstractNumId w:val="1"/>
  </w:num>
  <w:num w:numId="27">
    <w:abstractNumId w:val="1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0B73"/>
    <w:rsid w:val="00012F19"/>
    <w:rsid w:val="00022D2A"/>
    <w:rsid w:val="00056608"/>
    <w:rsid w:val="00060FA2"/>
    <w:rsid w:val="000A484B"/>
    <w:rsid w:val="000B07C2"/>
    <w:rsid w:val="000C29B1"/>
    <w:rsid w:val="000E7B14"/>
    <w:rsid w:val="000F139A"/>
    <w:rsid w:val="000F3738"/>
    <w:rsid w:val="00102C67"/>
    <w:rsid w:val="0010525C"/>
    <w:rsid w:val="0013084B"/>
    <w:rsid w:val="001413C1"/>
    <w:rsid w:val="001620B9"/>
    <w:rsid w:val="001741A6"/>
    <w:rsid w:val="0017772C"/>
    <w:rsid w:val="00194850"/>
    <w:rsid w:val="001A4CF7"/>
    <w:rsid w:val="001B6586"/>
    <w:rsid w:val="001C6796"/>
    <w:rsid w:val="001D1BA7"/>
    <w:rsid w:val="001E427E"/>
    <w:rsid w:val="0020450D"/>
    <w:rsid w:val="00207539"/>
    <w:rsid w:val="002137F6"/>
    <w:rsid w:val="00224F39"/>
    <w:rsid w:val="002748D9"/>
    <w:rsid w:val="00280C47"/>
    <w:rsid w:val="002869B8"/>
    <w:rsid w:val="002F119F"/>
    <w:rsid w:val="00300756"/>
    <w:rsid w:val="00307F28"/>
    <w:rsid w:val="0032596C"/>
    <w:rsid w:val="00365557"/>
    <w:rsid w:val="00393175"/>
    <w:rsid w:val="00396413"/>
    <w:rsid w:val="003D24D6"/>
    <w:rsid w:val="003E044E"/>
    <w:rsid w:val="003E0770"/>
    <w:rsid w:val="0040750C"/>
    <w:rsid w:val="004119D9"/>
    <w:rsid w:val="00424E70"/>
    <w:rsid w:val="00441969"/>
    <w:rsid w:val="00452353"/>
    <w:rsid w:val="00472A0C"/>
    <w:rsid w:val="00475FB4"/>
    <w:rsid w:val="00477180"/>
    <w:rsid w:val="004B6F34"/>
    <w:rsid w:val="004B7A78"/>
    <w:rsid w:val="004C6903"/>
    <w:rsid w:val="004C6FF5"/>
    <w:rsid w:val="004D60E9"/>
    <w:rsid w:val="004F1A94"/>
    <w:rsid w:val="004F44E4"/>
    <w:rsid w:val="005009D3"/>
    <w:rsid w:val="00522052"/>
    <w:rsid w:val="00525518"/>
    <w:rsid w:val="00532D7C"/>
    <w:rsid w:val="00537F5D"/>
    <w:rsid w:val="005461BA"/>
    <w:rsid w:val="005526CB"/>
    <w:rsid w:val="0055619E"/>
    <w:rsid w:val="00564568"/>
    <w:rsid w:val="00566879"/>
    <w:rsid w:val="00587D65"/>
    <w:rsid w:val="005A0824"/>
    <w:rsid w:val="005B7821"/>
    <w:rsid w:val="005C1B2D"/>
    <w:rsid w:val="005C3466"/>
    <w:rsid w:val="005D109D"/>
    <w:rsid w:val="005D5DDA"/>
    <w:rsid w:val="005F06AF"/>
    <w:rsid w:val="005F37E6"/>
    <w:rsid w:val="00612AD2"/>
    <w:rsid w:val="00620169"/>
    <w:rsid w:val="0062177B"/>
    <w:rsid w:val="0064494A"/>
    <w:rsid w:val="00661BE3"/>
    <w:rsid w:val="00663788"/>
    <w:rsid w:val="00670986"/>
    <w:rsid w:val="006B4092"/>
    <w:rsid w:val="006C3952"/>
    <w:rsid w:val="006D0062"/>
    <w:rsid w:val="006F3034"/>
    <w:rsid w:val="007249B1"/>
    <w:rsid w:val="00725A2B"/>
    <w:rsid w:val="0073259D"/>
    <w:rsid w:val="007664CB"/>
    <w:rsid w:val="00775940"/>
    <w:rsid w:val="007766F0"/>
    <w:rsid w:val="00777F11"/>
    <w:rsid w:val="00797F42"/>
    <w:rsid w:val="00797F88"/>
    <w:rsid w:val="007B0A79"/>
    <w:rsid w:val="007E7BA3"/>
    <w:rsid w:val="008213AC"/>
    <w:rsid w:val="00821BF3"/>
    <w:rsid w:val="00823278"/>
    <w:rsid w:val="0083654F"/>
    <w:rsid w:val="00854F2D"/>
    <w:rsid w:val="00857A70"/>
    <w:rsid w:val="008723A9"/>
    <w:rsid w:val="00875722"/>
    <w:rsid w:val="00877B5C"/>
    <w:rsid w:val="00894736"/>
    <w:rsid w:val="008A2C38"/>
    <w:rsid w:val="008D3DAE"/>
    <w:rsid w:val="008D3EAD"/>
    <w:rsid w:val="009004A5"/>
    <w:rsid w:val="00905554"/>
    <w:rsid w:val="0091145E"/>
    <w:rsid w:val="009263C7"/>
    <w:rsid w:val="009332B6"/>
    <w:rsid w:val="00940606"/>
    <w:rsid w:val="00953738"/>
    <w:rsid w:val="009648EE"/>
    <w:rsid w:val="00965CC6"/>
    <w:rsid w:val="00987B20"/>
    <w:rsid w:val="00996717"/>
    <w:rsid w:val="009B2680"/>
    <w:rsid w:val="009E0745"/>
    <w:rsid w:val="009E12DD"/>
    <w:rsid w:val="009E188D"/>
    <w:rsid w:val="009E7263"/>
    <w:rsid w:val="009F159E"/>
    <w:rsid w:val="00A00EA5"/>
    <w:rsid w:val="00A14976"/>
    <w:rsid w:val="00A41625"/>
    <w:rsid w:val="00A56C30"/>
    <w:rsid w:val="00A703C7"/>
    <w:rsid w:val="00A7332C"/>
    <w:rsid w:val="00A77E99"/>
    <w:rsid w:val="00A81013"/>
    <w:rsid w:val="00A90463"/>
    <w:rsid w:val="00AA357D"/>
    <w:rsid w:val="00AA558B"/>
    <w:rsid w:val="00AE29CF"/>
    <w:rsid w:val="00AF5AF8"/>
    <w:rsid w:val="00B21CB6"/>
    <w:rsid w:val="00B22DDE"/>
    <w:rsid w:val="00B255F9"/>
    <w:rsid w:val="00B3033D"/>
    <w:rsid w:val="00B41D26"/>
    <w:rsid w:val="00B55138"/>
    <w:rsid w:val="00B61B93"/>
    <w:rsid w:val="00B65B29"/>
    <w:rsid w:val="00B73B8D"/>
    <w:rsid w:val="00B93497"/>
    <w:rsid w:val="00BB268E"/>
    <w:rsid w:val="00BE3A99"/>
    <w:rsid w:val="00C0058E"/>
    <w:rsid w:val="00C10E84"/>
    <w:rsid w:val="00C17094"/>
    <w:rsid w:val="00C257F1"/>
    <w:rsid w:val="00C45E5A"/>
    <w:rsid w:val="00C8316F"/>
    <w:rsid w:val="00CA2CA1"/>
    <w:rsid w:val="00CB63D8"/>
    <w:rsid w:val="00CB7CC0"/>
    <w:rsid w:val="00CC59C4"/>
    <w:rsid w:val="00CD1C01"/>
    <w:rsid w:val="00CD4A31"/>
    <w:rsid w:val="00CF116F"/>
    <w:rsid w:val="00CF7D99"/>
    <w:rsid w:val="00D13EC8"/>
    <w:rsid w:val="00D1731C"/>
    <w:rsid w:val="00D60844"/>
    <w:rsid w:val="00D80C4D"/>
    <w:rsid w:val="00D81034"/>
    <w:rsid w:val="00D904D8"/>
    <w:rsid w:val="00DB12A1"/>
    <w:rsid w:val="00DC624D"/>
    <w:rsid w:val="00DC6CBA"/>
    <w:rsid w:val="00E129A7"/>
    <w:rsid w:val="00E17F5C"/>
    <w:rsid w:val="00E651E0"/>
    <w:rsid w:val="00EA62FE"/>
    <w:rsid w:val="00ED343E"/>
    <w:rsid w:val="00ED5049"/>
    <w:rsid w:val="00EE1A8A"/>
    <w:rsid w:val="00EE1B17"/>
    <w:rsid w:val="00F04A19"/>
    <w:rsid w:val="00F53B3F"/>
    <w:rsid w:val="00F60D4E"/>
    <w:rsid w:val="00F723B0"/>
    <w:rsid w:val="00F76E6B"/>
    <w:rsid w:val="00F81CF7"/>
    <w:rsid w:val="00F87B46"/>
    <w:rsid w:val="00FC5D38"/>
    <w:rsid w:val="00FC7B4C"/>
    <w:rsid w:val="00FD25A7"/>
    <w:rsid w:val="00FD5579"/>
    <w:rsid w:val="00FD64BB"/>
    <w:rsid w:val="00FE4C6B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5F4F7D-42A9-45A7-BC15-11F678B9EBAC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f4dc8af-b384-49e0-b43f-8da5ae3497c8"/>
    <ds:schemaRef ds:uri="http://purl.org/dc/terms/"/>
    <ds:schemaRef ds:uri="2118e36d-5e4f-48d4-af7f-1e4b3e19b45f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161D4B5-633E-4543-B0B5-D55E2A79E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Daniel Thomas</cp:lastModifiedBy>
  <cp:revision>21</cp:revision>
  <dcterms:created xsi:type="dcterms:W3CDTF">2022-07-19T11:23:00Z</dcterms:created>
  <dcterms:modified xsi:type="dcterms:W3CDTF">2022-07-19T11:38:00Z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